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заключения договоров о подключении (технологическом присоединении) согласно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u w:val="single"/>
          <w:shd w:fill="auto" w:val="clear"/>
        </w:rPr>
        <w:t xml:space="preserve">Регламента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  <w:t xml:space="preserve"> (ссылка для абон)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подключению к централизованным сетям водоснабжения и водоотведения.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Основанием для заключения договора о подключении является подача заявителем заявления о подключении в случае: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необходимости подключения вновь создаваемого или созданного подключаемого объекта, не подключенного к централизованным системам горячего водоснабжения,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(нагрузки);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необходимости увеличения подключенной мощности (нагрузки) ранее подключенного подключаемого объекта;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реконструкции, модернизации или капитального ремонта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горячего водоснабжения, холодного водоснабжения и (или) водоотведения, в том числе при изменении точки подключения.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Если заявитель определил необходимую нагрузку,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он обращается в АО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Водоканал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заявлением о заключении договора о подключении, при этом заявление может быть подано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без предварительного получения заявителем технических условий подключения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шагов чтобы подключить дом, здание, сооружение к централизованным системам холодного водоснабжения и (или) водоотведения: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направить заявителю запрос о выдаче технических условий подключения (при необходимости) и получить технических условия подключения в случаях и в порядке, которые установлены настоящим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auto" w:val="clear"/>
        </w:rPr>
        <w:t xml:space="preserve">Регламентом (ссылка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 в АО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Водоканал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45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направить в АО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Водоканал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заявление о подключении к централизованным сетям холодного водоснабжения и водоотведения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заключить договор на подключении;</w:t>
      </w:r>
    </w:p>
    <w:p>
      <w:pPr>
        <w:spacing w:before="0" w:after="0" w:line="240"/>
        <w:ind w:right="0" w:left="145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108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выполнить мероприятия по подключению, предусмотренные договором о подключении;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108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подписать заявителем и исполнителем акта о подключении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Заключить договор на холодное водоснабжение и (или)водоотведение в абонентском отделе.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заявлению о подключении должны быть приложены следующие документы: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 30 календарных 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 дня направления заявления о подключении.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копии правоустанавливающих и 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ситуационный план расположения объекта с привязкой к территории населенного пункта;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(процентов);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для физ лиц домовладельцев можно сделать в АО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Водоканал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градостроительный план земельного участка.</w:t>
      </w:r>
    </w:p>
    <w:p>
      <w:pPr>
        <w:spacing w:before="240" w:after="312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7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